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94" w:rsidRDefault="00861F94" w:rsidP="00442D7E">
      <w:pPr>
        <w:shd w:val="clear" w:color="auto" w:fill="FFFFFF"/>
        <w:rPr>
          <w:b/>
        </w:rPr>
      </w:pPr>
      <w:r>
        <w:rPr>
          <w:b/>
        </w:rPr>
        <w:t>Tax Bill activity</w:t>
      </w:r>
    </w:p>
    <w:p w:rsidR="00E12744" w:rsidRPr="00E12744" w:rsidRDefault="00E12744" w:rsidP="00442D7E">
      <w:pPr>
        <w:shd w:val="clear" w:color="auto" w:fill="FFFFFF"/>
      </w:pPr>
      <w:r w:rsidRPr="00E12744">
        <w:t xml:space="preserve">Original version of the House Bill - </w:t>
      </w:r>
      <w:r w:rsidRPr="00E12744">
        <w:br/>
      </w:r>
      <w:hyperlink r:id="rId6" w:history="1">
        <w:r w:rsidRPr="00E12744">
          <w:rPr>
            <w:rStyle w:val="Hyperlink"/>
          </w:rPr>
          <w:t>http://taxmama.com/tax-quips/summary-tax-cut-and-jobs-act-2017/</w:t>
        </w:r>
      </w:hyperlink>
      <w:r w:rsidRPr="00E12744">
        <w:t xml:space="preserve"> </w:t>
      </w:r>
    </w:p>
    <w:p w:rsidR="00861F94" w:rsidRDefault="00861F94" w:rsidP="00442D7E">
      <w:pPr>
        <w:shd w:val="clear" w:color="auto" w:fill="FFFFFF"/>
      </w:pPr>
      <w:hyperlink r:id="rId7" w:history="1">
        <w:r w:rsidRPr="00861F94">
          <w:rPr>
            <w:rStyle w:val="Hyperlink"/>
          </w:rPr>
          <w:t>https://www.wsj.com/livecoverage/tax-bill-2017</w:t>
        </w:r>
      </w:hyperlink>
      <w:r w:rsidRPr="00861F94">
        <w:t xml:space="preserve"> </w:t>
      </w:r>
    </w:p>
    <w:p w:rsidR="00861F94" w:rsidRDefault="00861F94" w:rsidP="00442D7E">
      <w:pPr>
        <w:shd w:val="clear" w:color="auto" w:fill="FFFFFF"/>
      </w:pPr>
      <w:hyperlink r:id="rId8" w:history="1">
        <w:r w:rsidRPr="009C2C39">
          <w:rPr>
            <w:rStyle w:val="Hyperlink"/>
          </w:rPr>
          <w:t>https://www.marketwatch.com/story/here-are-the-winners-and-losers-of-the-senate-tax-plan-2017-11-13</w:t>
        </w:r>
      </w:hyperlink>
      <w:r>
        <w:t xml:space="preserve"> </w:t>
      </w:r>
    </w:p>
    <w:p w:rsidR="00861F94" w:rsidRPr="00861F94" w:rsidRDefault="00861F94" w:rsidP="00442D7E">
      <w:pPr>
        <w:shd w:val="clear" w:color="auto" w:fill="FFFFFF"/>
      </w:pPr>
      <w:hyperlink r:id="rId9" w:history="1">
        <w:r w:rsidRPr="009C2C39">
          <w:rPr>
            <w:rStyle w:val="Hyperlink"/>
          </w:rPr>
          <w:t>https://www.forbes.com/sites/kellyphillipserb/2017/11/16/senate-markup-would-make-individual-tax-cuts-temporary-corporate-tax-cuts-permanent</w:t>
        </w:r>
      </w:hyperlink>
      <w:r>
        <w:t xml:space="preserve"> </w:t>
      </w:r>
    </w:p>
    <w:p w:rsidR="005B1B81" w:rsidRPr="005B1B81" w:rsidRDefault="005B1B81" w:rsidP="003D4F6B">
      <w:pPr>
        <w:pStyle w:val="NormalWeb"/>
        <w:shd w:val="clear" w:color="auto" w:fill="FFFFFF"/>
        <w:ind w:left="720"/>
        <w:rPr>
          <w:rFonts w:asciiTheme="minorHAnsi" w:hAnsiTheme="minorHAnsi"/>
          <w:color w:val="000000"/>
          <w:sz w:val="22"/>
          <w:szCs w:val="32"/>
        </w:rPr>
      </w:pPr>
      <w:proofErr w:type="spellStart"/>
      <w:r w:rsidRPr="005B1B81">
        <w:rPr>
          <w:rStyle w:val="Strong"/>
          <w:rFonts w:asciiTheme="minorHAnsi" w:hAnsiTheme="minorHAnsi"/>
          <w:color w:val="000000"/>
          <w:sz w:val="22"/>
          <w:szCs w:val="32"/>
        </w:rPr>
        <w:t>Obamacare</w:t>
      </w:r>
      <w:proofErr w:type="spellEnd"/>
      <w:r w:rsidRPr="005B1B81">
        <w:rPr>
          <w:rStyle w:val="Strong"/>
          <w:rFonts w:asciiTheme="minorHAnsi" w:hAnsiTheme="minorHAnsi"/>
          <w:color w:val="000000"/>
          <w:sz w:val="22"/>
          <w:szCs w:val="32"/>
        </w:rPr>
        <w:t xml:space="preserve"> Individual Mandate</w:t>
      </w:r>
    </w:p>
    <w:p w:rsidR="005B1B81" w:rsidRPr="005B1B81" w:rsidRDefault="005B1B81" w:rsidP="003D4F6B">
      <w:pPr>
        <w:numPr>
          <w:ilvl w:val="0"/>
          <w:numId w:val="3"/>
        </w:numPr>
        <w:shd w:val="clear" w:color="auto" w:fill="FFFFFF"/>
        <w:tabs>
          <w:tab w:val="clear" w:pos="720"/>
          <w:tab w:val="num" w:pos="1440"/>
        </w:tabs>
        <w:spacing w:before="240" w:after="240" w:line="240" w:lineRule="auto"/>
        <w:ind w:left="2160"/>
        <w:rPr>
          <w:color w:val="000000"/>
          <w:szCs w:val="32"/>
        </w:rPr>
      </w:pPr>
      <w:r w:rsidRPr="005B1B81">
        <w:rPr>
          <w:color w:val="000000"/>
          <w:szCs w:val="32"/>
        </w:rPr>
        <w:t>Under the original House and Senate proposals, the mandate would </w:t>
      </w:r>
      <w:hyperlink r:id="rId10" w:anchor="3ed4cf617d7f" w:tgtFrame="_self" w:history="1">
        <w:r w:rsidRPr="005B1B81">
          <w:rPr>
            <w:rStyle w:val="Hyperlink"/>
            <w:color w:val="003891"/>
            <w:szCs w:val="32"/>
          </w:rPr>
          <w:t>still be in play</w:t>
        </w:r>
      </w:hyperlink>
      <w:r w:rsidRPr="005B1B81">
        <w:rPr>
          <w:color w:val="000000"/>
          <w:szCs w:val="32"/>
        </w:rPr>
        <w:t>.</w:t>
      </w:r>
    </w:p>
    <w:p w:rsidR="005B1B81" w:rsidRPr="005B1B81" w:rsidRDefault="005B1B81" w:rsidP="003D4F6B">
      <w:pPr>
        <w:numPr>
          <w:ilvl w:val="0"/>
          <w:numId w:val="3"/>
        </w:numPr>
        <w:shd w:val="clear" w:color="auto" w:fill="FFFFFF"/>
        <w:spacing w:before="240" w:after="240" w:line="240" w:lineRule="auto"/>
        <w:ind w:left="2160"/>
        <w:rPr>
          <w:color w:val="000000"/>
          <w:szCs w:val="32"/>
        </w:rPr>
      </w:pPr>
      <w:r w:rsidRPr="005B1B81">
        <w:rPr>
          <w:color w:val="000000"/>
          <w:szCs w:val="32"/>
        </w:rPr>
        <w:t>Under the proposal as outlined in the Chairman's Mark, the individual mandate penalty would </w:t>
      </w:r>
      <w:hyperlink r:id="rId11" w:tgtFrame="_self" w:history="1">
        <w:r w:rsidRPr="005B1B81">
          <w:rPr>
            <w:rStyle w:val="Hyperlink"/>
            <w:color w:val="003891"/>
            <w:szCs w:val="32"/>
          </w:rPr>
          <w:t>be eliminated</w:t>
        </w:r>
      </w:hyperlink>
      <w:r w:rsidRPr="005B1B81">
        <w:rPr>
          <w:color w:val="000000"/>
          <w:szCs w:val="32"/>
        </w:rPr>
        <w:t> beginning in 2019.</w:t>
      </w:r>
    </w:p>
    <w:p w:rsidR="005B1B81" w:rsidRPr="005B1B81" w:rsidRDefault="005B1B81" w:rsidP="003D4F6B">
      <w:pPr>
        <w:pStyle w:val="NormalWeb"/>
        <w:shd w:val="clear" w:color="auto" w:fill="FFFFFF"/>
        <w:ind w:left="720"/>
        <w:rPr>
          <w:rFonts w:asciiTheme="minorHAnsi" w:hAnsiTheme="minorHAnsi"/>
          <w:color w:val="000000"/>
          <w:sz w:val="22"/>
          <w:szCs w:val="32"/>
        </w:rPr>
      </w:pPr>
      <w:r w:rsidRPr="005B1B81">
        <w:rPr>
          <w:rStyle w:val="Strong"/>
          <w:rFonts w:asciiTheme="minorHAnsi" w:hAnsiTheme="minorHAnsi"/>
          <w:color w:val="000000"/>
          <w:sz w:val="22"/>
          <w:szCs w:val="32"/>
        </w:rPr>
        <w:t>Above The Line Deductions</w:t>
      </w:r>
    </w:p>
    <w:p w:rsidR="005B1B81" w:rsidRPr="005B1B81" w:rsidRDefault="005B1B81" w:rsidP="003D4F6B">
      <w:pPr>
        <w:pStyle w:val="NormalWeb"/>
        <w:shd w:val="clear" w:color="auto" w:fill="FFFFFF"/>
        <w:ind w:left="720"/>
        <w:rPr>
          <w:rFonts w:asciiTheme="minorHAnsi" w:hAnsiTheme="minorHAnsi"/>
          <w:color w:val="000000"/>
          <w:sz w:val="22"/>
          <w:szCs w:val="32"/>
        </w:rPr>
      </w:pPr>
      <w:r w:rsidRPr="005B1B81">
        <w:rPr>
          <w:rFonts w:asciiTheme="minorHAnsi" w:hAnsiTheme="minorHAnsi"/>
          <w:color w:val="000000"/>
          <w:sz w:val="22"/>
          <w:szCs w:val="32"/>
        </w:rPr>
        <w:t>Currently, you can claim certain above-the-line expenses (meaning that you can claim them even if you do not itemize).</w:t>
      </w:r>
    </w:p>
    <w:p w:rsidR="005B1B81" w:rsidRPr="005B1B81" w:rsidRDefault="005B1B81" w:rsidP="003D4F6B">
      <w:pPr>
        <w:numPr>
          <w:ilvl w:val="0"/>
          <w:numId w:val="4"/>
        </w:numPr>
        <w:shd w:val="clear" w:color="auto" w:fill="FFFFFF"/>
        <w:spacing w:before="240" w:after="240" w:line="240" w:lineRule="auto"/>
        <w:ind w:left="2160"/>
        <w:rPr>
          <w:color w:val="000000"/>
          <w:szCs w:val="32"/>
        </w:rPr>
      </w:pPr>
      <w:r w:rsidRPr="005B1B81">
        <w:rPr>
          <w:color w:val="000000"/>
          <w:szCs w:val="32"/>
        </w:rPr>
        <w:t>Under both proposals, most above-the-line deductions would be eliminated, including those for student loan interest, moving expenses and out of pocket expenses for teachers.</w:t>
      </w:r>
    </w:p>
    <w:p w:rsidR="005B1B81" w:rsidRPr="005B1B81" w:rsidRDefault="005B1B81" w:rsidP="003D4F6B">
      <w:pPr>
        <w:numPr>
          <w:ilvl w:val="0"/>
          <w:numId w:val="4"/>
        </w:numPr>
        <w:shd w:val="clear" w:color="auto" w:fill="FFFFFF"/>
        <w:spacing w:before="240" w:after="240" w:line="240" w:lineRule="auto"/>
        <w:ind w:left="2160"/>
        <w:rPr>
          <w:color w:val="000000"/>
          <w:szCs w:val="32"/>
        </w:rPr>
      </w:pPr>
      <w:r w:rsidRPr="005B1B81">
        <w:rPr>
          <w:color w:val="000000"/>
          <w:szCs w:val="32"/>
        </w:rPr>
        <w:t>Under the proposal as outlined in the Chairman's Mark, the above-the-line expense limit for teachers would stay in effect but the limit would be increased to $500 (it's currently $250).</w:t>
      </w:r>
    </w:p>
    <w:p w:rsidR="00861F94" w:rsidRDefault="00861F94" w:rsidP="00442D7E">
      <w:pPr>
        <w:shd w:val="clear" w:color="auto" w:fill="FFFFFF"/>
        <w:rPr>
          <w:b/>
        </w:rPr>
      </w:pPr>
    </w:p>
    <w:p w:rsidR="00861F94" w:rsidRDefault="00861F94" w:rsidP="00442D7E">
      <w:pPr>
        <w:shd w:val="clear" w:color="auto" w:fill="FFFFFF"/>
        <w:rPr>
          <w:b/>
        </w:rPr>
      </w:pPr>
    </w:p>
    <w:p w:rsidR="00442D7E" w:rsidRPr="009E5859" w:rsidRDefault="000B513A" w:rsidP="00442D7E">
      <w:pPr>
        <w:shd w:val="clear" w:color="auto" w:fill="FFFFFF"/>
        <w:rPr>
          <w:b/>
        </w:rPr>
      </w:pPr>
      <w:r w:rsidRPr="009E5859">
        <w:rPr>
          <w:b/>
        </w:rPr>
        <w:t>Ian had a question</w:t>
      </w:r>
    </w:p>
    <w:p w:rsidR="000B513A" w:rsidRPr="000B513A" w:rsidRDefault="000B513A" w:rsidP="00442D7E">
      <w:pPr>
        <w:shd w:val="clear" w:color="auto" w:fill="FFFFFF"/>
        <w:ind w:left="720"/>
        <w:rPr>
          <w:rFonts w:ascii="Arial" w:eastAsia="Times New Roman" w:hAnsi="Arial" w:cs="Arial"/>
          <w:color w:val="222222"/>
          <w:sz w:val="19"/>
          <w:szCs w:val="19"/>
        </w:rPr>
      </w:pPr>
      <w:r w:rsidRPr="000B513A">
        <w:rPr>
          <w:rFonts w:ascii="Arial" w:eastAsia="Times New Roman" w:hAnsi="Arial" w:cs="Arial"/>
          <w:color w:val="222222"/>
          <w:sz w:val="19"/>
          <w:szCs w:val="19"/>
        </w:rPr>
        <w:t>Do I have reasonable cause for the IRS to reconsider a disallowance of a claim for refund for tax year 2013 because of missing the filing deadline?</w:t>
      </w: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r w:rsidRPr="000B513A">
        <w:rPr>
          <w:rFonts w:ascii="Arial" w:eastAsia="Times New Roman" w:hAnsi="Arial" w:cs="Arial"/>
          <w:color w:val="222222"/>
          <w:sz w:val="19"/>
          <w:szCs w:val="19"/>
        </w:rPr>
        <w:t>Here is what happened:</w:t>
      </w: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r w:rsidRPr="000B513A">
        <w:rPr>
          <w:rFonts w:ascii="Arial" w:eastAsia="Times New Roman" w:hAnsi="Arial" w:cs="Arial"/>
          <w:color w:val="222222"/>
          <w:sz w:val="19"/>
          <w:szCs w:val="19"/>
        </w:rPr>
        <w:t>I amended a 2013 tax return to claim additional federal &amp; state refunds for business write-offs that a client had been unaware of at the time he self-prepared his original return. The client signed his 2013 amended return on April 12, 2017. The amended return was postmarked to the IRS on April 18, 2017.</w:t>
      </w: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r w:rsidRPr="000B513A">
        <w:rPr>
          <w:rFonts w:ascii="Arial" w:eastAsia="Times New Roman" w:hAnsi="Arial" w:cs="Arial"/>
          <w:color w:val="222222"/>
          <w:sz w:val="19"/>
          <w:szCs w:val="19"/>
        </w:rPr>
        <w:lastRenderedPageBreak/>
        <w:t xml:space="preserve">The IRS has disallowed the claim for the refund because </w:t>
      </w:r>
      <w:proofErr w:type="gramStart"/>
      <w:r w:rsidRPr="000B513A">
        <w:rPr>
          <w:rFonts w:ascii="Arial" w:eastAsia="Times New Roman" w:hAnsi="Arial" w:cs="Arial"/>
          <w:color w:val="222222"/>
          <w:sz w:val="19"/>
          <w:szCs w:val="19"/>
        </w:rPr>
        <w:t>" ...</w:t>
      </w:r>
      <w:proofErr w:type="gramEnd"/>
      <w:r w:rsidRPr="000B513A">
        <w:rPr>
          <w:rFonts w:ascii="Arial" w:eastAsia="Times New Roman" w:hAnsi="Arial" w:cs="Arial"/>
          <w:color w:val="222222"/>
          <w:sz w:val="19"/>
          <w:szCs w:val="19"/>
        </w:rPr>
        <w:t xml:space="preserve"> [the return] was filed more than 3 years after the tax return due date ... The last day to file a claim for tax year 2013 was April 15, 2017. We can't allow your claim because the postmark isn't on or before the deadline."</w:t>
      </w: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r w:rsidRPr="000B513A">
        <w:rPr>
          <w:rFonts w:ascii="Arial" w:eastAsia="Times New Roman" w:hAnsi="Arial" w:cs="Arial"/>
          <w:color w:val="222222"/>
          <w:sz w:val="19"/>
          <w:szCs w:val="19"/>
        </w:rPr>
        <w:t>Bottom line:</w:t>
      </w: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r w:rsidRPr="000B513A">
        <w:rPr>
          <w:rFonts w:ascii="Arial" w:eastAsia="Times New Roman" w:hAnsi="Arial" w:cs="Arial"/>
          <w:color w:val="222222"/>
          <w:sz w:val="19"/>
          <w:szCs w:val="19"/>
        </w:rPr>
        <w:t>I was confused as to the correct due date to file the amended 2013 return. Within recent memory, the IRS due date of April 15 has been pushed out an extra day because of Emancipation Day observed in Washington D.C. (plus the 15th fell on the weekend this year.)  So, being a rush - I told the client the filing deadline for his 2013 return was April 18 this year, and that is the day the return was mailed.</w:t>
      </w: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p>
    <w:p w:rsidR="000B513A" w:rsidRPr="000B513A" w:rsidRDefault="000B513A" w:rsidP="00442D7E">
      <w:pPr>
        <w:shd w:val="clear" w:color="auto" w:fill="FFFFFF"/>
        <w:spacing w:after="0" w:line="240" w:lineRule="auto"/>
        <w:ind w:left="720"/>
        <w:rPr>
          <w:rFonts w:ascii="Arial" w:eastAsia="Times New Roman" w:hAnsi="Arial" w:cs="Arial"/>
          <w:color w:val="222222"/>
          <w:sz w:val="19"/>
          <w:szCs w:val="19"/>
        </w:rPr>
      </w:pPr>
      <w:r w:rsidRPr="000B513A">
        <w:rPr>
          <w:rFonts w:ascii="Arial" w:eastAsia="Times New Roman" w:hAnsi="Arial" w:cs="Arial"/>
          <w:color w:val="222222"/>
          <w:sz w:val="19"/>
          <w:szCs w:val="19"/>
        </w:rPr>
        <w:t>Do you think that "excuse" - of being confused because of Emancipation Day etc. will fly with the IRS?  Is there a more compelling way for me to communicate that mix-up about the due dates, so that IRS will reconsider and release the refund to my client for 2013?</w:t>
      </w:r>
    </w:p>
    <w:p w:rsidR="000B513A" w:rsidRDefault="000B513A"/>
    <w:p w:rsidR="000B513A" w:rsidRPr="009E5859" w:rsidRDefault="00442D7E">
      <w:pPr>
        <w:rPr>
          <w:b/>
        </w:rPr>
      </w:pPr>
      <w:r w:rsidRPr="009E5859">
        <w:rPr>
          <w:b/>
        </w:rPr>
        <w:t>Answer? No – actually, research</w:t>
      </w:r>
      <w:r w:rsidR="00C01773" w:rsidRPr="009E5859">
        <w:rPr>
          <w:b/>
        </w:rPr>
        <w:t xml:space="preserve">: </w:t>
      </w:r>
    </w:p>
    <w:p w:rsidR="00D62BFC" w:rsidRDefault="00C0371E">
      <w:hyperlink r:id="rId12" w:history="1">
        <w:r w:rsidRPr="009C2C39">
          <w:rPr>
            <w:rStyle w:val="Hyperlink"/>
          </w:rPr>
          <w:t>https://www.timeanddate.com/calendar/monthly.html?year=2013&amp;country=1&amp;month=4</w:t>
        </w:r>
      </w:hyperlink>
      <w:r>
        <w:t xml:space="preserve"> </w:t>
      </w:r>
    </w:p>
    <w:p w:rsidR="004E67AB" w:rsidRDefault="004E67AB">
      <w:r>
        <w:rPr>
          <w:noProof/>
        </w:rPr>
        <w:drawing>
          <wp:inline distT="0" distB="0" distL="0" distR="0" wp14:anchorId="2CA34978" wp14:editId="1450CF0A">
            <wp:extent cx="59436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667125"/>
                    </a:xfrm>
                    <a:prstGeom prst="rect">
                      <a:avLst/>
                    </a:prstGeom>
                  </pic:spPr>
                </pic:pic>
              </a:graphicData>
            </a:graphic>
          </wp:inline>
        </w:drawing>
      </w:r>
    </w:p>
    <w:p w:rsidR="001F2A21" w:rsidRDefault="008A4FA8">
      <w:r>
        <w:t>2014 filing deadline</w:t>
      </w:r>
      <w:r w:rsidR="00691BD2">
        <w:t xml:space="preserve"> </w:t>
      </w:r>
      <w:bookmarkStart w:id="0" w:name="_GoBack"/>
      <w:bookmarkEnd w:id="0"/>
      <w:r w:rsidR="001F2A21">
        <w:fldChar w:fldCharType="begin"/>
      </w:r>
      <w:r w:rsidR="001F2A21">
        <w:instrText xml:space="preserve"> HYPERLINK "</w:instrText>
      </w:r>
      <w:r w:rsidR="001F2A21" w:rsidRPr="001F2A21">
        <w:instrText>https://www.timeanddate.com/calendar/monthly.html?year=2014&amp;country=1&amp;month=4</w:instrText>
      </w:r>
      <w:r w:rsidR="001F2A21">
        <w:instrText xml:space="preserve">" </w:instrText>
      </w:r>
      <w:r w:rsidR="001F2A21">
        <w:fldChar w:fldCharType="separate"/>
      </w:r>
      <w:r w:rsidR="001F2A21" w:rsidRPr="009C2C39">
        <w:rPr>
          <w:rStyle w:val="Hyperlink"/>
        </w:rPr>
        <w:t>https://www.timeanddate.com/calendar/monthly.html?year=2014&amp;country=1&amp;month=4</w:t>
      </w:r>
      <w:r w:rsidR="001F2A21">
        <w:fldChar w:fldCharType="end"/>
      </w:r>
      <w:r w:rsidR="001F2A21">
        <w:t xml:space="preserve"> </w:t>
      </w:r>
    </w:p>
    <w:p w:rsidR="003F4701" w:rsidRDefault="003F4701">
      <w:r>
        <w:t xml:space="preserve">2013 filing deadline - </w:t>
      </w:r>
      <w:hyperlink r:id="rId14" w:history="1">
        <w:r w:rsidRPr="009C2C39">
          <w:rPr>
            <w:rStyle w:val="Hyperlink"/>
          </w:rPr>
          <w:t>https://www.irs.gov/newsroom/irs-kicks-off-2013-tax-season</w:t>
        </w:r>
      </w:hyperlink>
      <w:r>
        <w:t xml:space="preserve"> was April 15th.</w:t>
      </w:r>
    </w:p>
    <w:p w:rsidR="0085609B" w:rsidRDefault="0085609B">
      <w:r>
        <w:t>If the taxpayer</w:t>
      </w:r>
      <w:r w:rsidR="00597D32">
        <w:t>s</w:t>
      </w:r>
      <w:r>
        <w:t xml:space="preserve"> </w:t>
      </w:r>
      <w:r w:rsidR="00597D32">
        <w:t>were</w:t>
      </w:r>
      <w:r>
        <w:t xml:space="preserve"> </w:t>
      </w:r>
      <w:r w:rsidR="001072BA">
        <w:t xml:space="preserve">living </w:t>
      </w:r>
      <w:r>
        <w:t>in Washington State, they had until October 15</w:t>
      </w:r>
      <w:r w:rsidRPr="0085609B">
        <w:rPr>
          <w:vertAlign w:val="superscript"/>
        </w:rPr>
        <w:t>th</w:t>
      </w:r>
      <w:r>
        <w:t xml:space="preserve"> to file </w:t>
      </w:r>
      <w:hyperlink r:id="rId15" w:history="1">
        <w:r w:rsidRPr="009C2C39">
          <w:rPr>
            <w:rStyle w:val="Hyperlink"/>
          </w:rPr>
          <w:t>https://www.irs.gov/newsroom/irs-gives-tax-relief-to-washington-state-mudslide-and-flooding-victims</w:t>
        </w:r>
      </w:hyperlink>
      <w:r>
        <w:t xml:space="preserve"> </w:t>
      </w:r>
    </w:p>
    <w:p w:rsidR="00D57656" w:rsidRDefault="00D57656" w:rsidP="00602720">
      <w:pPr>
        <w:shd w:val="clear" w:color="auto" w:fill="FFFFFF"/>
        <w:spacing w:after="0" w:line="240" w:lineRule="auto"/>
        <w:rPr>
          <w:rFonts w:ascii="Arial" w:eastAsia="Times New Roman" w:hAnsi="Arial" w:cs="Arial"/>
          <w:bCs/>
          <w:color w:val="333333"/>
          <w:sz w:val="24"/>
          <w:szCs w:val="24"/>
        </w:rPr>
      </w:pPr>
      <w:hyperlink r:id="rId16" w:history="1">
        <w:r w:rsidRPr="00D57656">
          <w:rPr>
            <w:rStyle w:val="Hyperlink"/>
            <w:rFonts w:ascii="Arial" w:eastAsia="Times New Roman" w:hAnsi="Arial" w:cs="Arial"/>
            <w:bCs/>
            <w:sz w:val="24"/>
            <w:szCs w:val="24"/>
          </w:rPr>
          <w:t>https://www.irs.gov/irm/part25/irm_25-006-001r</w:t>
        </w:r>
      </w:hyperlink>
      <w:r w:rsidRPr="00D57656">
        <w:rPr>
          <w:rFonts w:ascii="Arial" w:eastAsia="Times New Roman" w:hAnsi="Arial" w:cs="Arial"/>
          <w:bCs/>
          <w:color w:val="333333"/>
          <w:sz w:val="24"/>
          <w:szCs w:val="24"/>
        </w:rPr>
        <w:t xml:space="preserve"> </w:t>
      </w:r>
    </w:p>
    <w:p w:rsidR="00D57656" w:rsidRDefault="00D57656" w:rsidP="00602720">
      <w:pPr>
        <w:shd w:val="clear" w:color="auto" w:fill="FFFFFF"/>
        <w:spacing w:after="0" w:line="240" w:lineRule="auto"/>
        <w:rPr>
          <w:rFonts w:ascii="Arial" w:eastAsia="Times New Roman" w:hAnsi="Arial" w:cs="Arial"/>
          <w:bCs/>
          <w:color w:val="333333"/>
          <w:sz w:val="24"/>
          <w:szCs w:val="24"/>
        </w:rPr>
      </w:pPr>
    </w:p>
    <w:p w:rsidR="00D57656" w:rsidRPr="00D57656" w:rsidRDefault="00D57656" w:rsidP="00602720">
      <w:pPr>
        <w:shd w:val="clear" w:color="auto" w:fill="FFFFFF"/>
        <w:spacing w:after="0" w:line="240" w:lineRule="auto"/>
        <w:rPr>
          <w:rFonts w:ascii="Arial" w:eastAsia="Times New Roman" w:hAnsi="Arial" w:cs="Arial"/>
          <w:bCs/>
          <w:color w:val="333333"/>
          <w:sz w:val="24"/>
          <w:szCs w:val="24"/>
        </w:rPr>
      </w:pPr>
      <w:hyperlink r:id="rId17" w:history="1">
        <w:r w:rsidRPr="009C2C39">
          <w:rPr>
            <w:rStyle w:val="Hyperlink"/>
            <w:rFonts w:ascii="Arial" w:eastAsia="Times New Roman" w:hAnsi="Arial" w:cs="Arial"/>
            <w:bCs/>
            <w:sz w:val="24"/>
            <w:szCs w:val="24"/>
          </w:rPr>
          <w:t>https://www.irs.gov/irm/part25/irm_25-006-001r#idm140534001710336</w:t>
        </w:r>
      </w:hyperlink>
      <w:r>
        <w:rPr>
          <w:rFonts w:ascii="Arial" w:eastAsia="Times New Roman" w:hAnsi="Arial" w:cs="Arial"/>
          <w:bCs/>
          <w:color w:val="333333"/>
          <w:sz w:val="24"/>
          <w:szCs w:val="24"/>
        </w:rPr>
        <w:t xml:space="preserve"> </w:t>
      </w:r>
    </w:p>
    <w:p w:rsidR="00602720" w:rsidRPr="00602720" w:rsidRDefault="00602720" w:rsidP="00602720">
      <w:pPr>
        <w:shd w:val="clear" w:color="auto" w:fill="FFFFFF"/>
        <w:spacing w:after="0" w:line="240" w:lineRule="auto"/>
        <w:rPr>
          <w:rFonts w:ascii="Arial" w:eastAsia="Times New Roman" w:hAnsi="Arial" w:cs="Arial"/>
          <w:color w:val="333333"/>
          <w:sz w:val="24"/>
          <w:szCs w:val="24"/>
        </w:rPr>
      </w:pPr>
      <w:r w:rsidRPr="00602720">
        <w:rPr>
          <w:rFonts w:ascii="Arial" w:eastAsia="Times New Roman" w:hAnsi="Arial" w:cs="Arial"/>
          <w:b/>
          <w:bCs/>
          <w:color w:val="333333"/>
          <w:sz w:val="24"/>
          <w:szCs w:val="24"/>
        </w:rPr>
        <w:t>25.6.1.10.2.5.1 (10-17-2016)</w:t>
      </w:r>
    </w:p>
    <w:p w:rsidR="00602720" w:rsidRPr="00602720" w:rsidRDefault="00602720" w:rsidP="00602720">
      <w:pPr>
        <w:shd w:val="clear" w:color="auto" w:fill="FFFFFF"/>
        <w:spacing w:before="75" w:after="225" w:line="240" w:lineRule="auto"/>
        <w:outlineLvl w:val="5"/>
        <w:rPr>
          <w:rFonts w:ascii="inherit" w:eastAsia="Times New Roman" w:hAnsi="inherit" w:cs="Arial"/>
          <w:b/>
          <w:bCs/>
          <w:color w:val="333333"/>
          <w:sz w:val="15"/>
          <w:szCs w:val="15"/>
        </w:rPr>
      </w:pPr>
      <w:bookmarkStart w:id="1" w:name="idm140534001710336"/>
      <w:bookmarkEnd w:id="1"/>
      <w:r w:rsidRPr="00602720">
        <w:rPr>
          <w:rFonts w:ascii="inherit" w:eastAsia="Times New Roman" w:hAnsi="inherit" w:cs="Arial"/>
          <w:b/>
          <w:bCs/>
          <w:color w:val="333333"/>
          <w:sz w:val="15"/>
          <w:szCs w:val="15"/>
        </w:rPr>
        <w:t>Statute Year Amended Returns Requesting a Credit, Tax Decrease, or No Tax Change</w:t>
      </w:r>
    </w:p>
    <w:p w:rsidR="00602720" w:rsidRDefault="00BF6D21" w:rsidP="00BF6D21">
      <w:pPr>
        <w:pStyle w:val="NormalWeb"/>
        <w:shd w:val="clear" w:color="auto" w:fill="FFFFFF"/>
        <w:spacing w:before="0" w:beforeAutospacing="0" w:after="0" w:afterAutospacing="0"/>
        <w:ind w:left="360"/>
        <w:rPr>
          <w:rFonts w:ascii="Arial" w:hAnsi="Arial" w:cs="Arial"/>
          <w:color w:val="333333"/>
        </w:rPr>
      </w:pPr>
      <w:r>
        <w:rPr>
          <w:rFonts w:ascii="Arial" w:hAnsi="Arial" w:cs="Arial"/>
          <w:color w:val="333333"/>
        </w:rPr>
        <w:t xml:space="preserve">4. </w:t>
      </w:r>
      <w:r w:rsidR="00602720">
        <w:rPr>
          <w:rFonts w:ascii="Arial" w:hAnsi="Arial" w:cs="Arial"/>
          <w:color w:val="333333"/>
        </w:rPr>
        <w:t xml:space="preserve">If an untimely claim for refund is referred to the Statute function for review and research indicates an </w:t>
      </w:r>
      <w:proofErr w:type="spellStart"/>
      <w:r w:rsidR="00602720">
        <w:rPr>
          <w:rFonts w:ascii="Arial" w:hAnsi="Arial" w:cs="Arial"/>
          <w:color w:val="333333"/>
        </w:rPr>
        <w:t>unreversed</w:t>
      </w:r>
      <w:proofErr w:type="spellEnd"/>
      <w:r w:rsidR="00602720">
        <w:rPr>
          <w:rFonts w:ascii="Arial" w:hAnsi="Arial" w:cs="Arial"/>
          <w:color w:val="333333"/>
        </w:rPr>
        <w:t xml:space="preserve"> TC 420 or 424, forward the claim to the Examination function.</w:t>
      </w:r>
    </w:p>
    <w:p w:rsidR="00561017" w:rsidRDefault="00561017"/>
    <w:p w:rsidR="00AE269E" w:rsidRDefault="00F46788">
      <w:hyperlink r:id="rId18" w:history="1">
        <w:r w:rsidRPr="009C2C39">
          <w:rPr>
            <w:rStyle w:val="Hyperlink"/>
          </w:rPr>
          <w:t>https://www.irs.gov/irm/part25/irm_25-006-001r#idm140534001681616</w:t>
        </w:r>
      </w:hyperlink>
      <w:r>
        <w:t xml:space="preserve"> </w:t>
      </w:r>
    </w:p>
    <w:p w:rsidR="00AE269E" w:rsidRDefault="00AE269E" w:rsidP="00AE269E">
      <w:pPr>
        <w:shd w:val="clear" w:color="auto" w:fill="FFFFFF"/>
        <w:rPr>
          <w:rFonts w:ascii="Arial" w:hAnsi="Arial" w:cs="Arial"/>
          <w:color w:val="333333"/>
        </w:rPr>
      </w:pPr>
      <w:r>
        <w:rPr>
          <w:rStyle w:val="Strong"/>
          <w:rFonts w:ascii="Arial" w:hAnsi="Arial" w:cs="Arial"/>
          <w:color w:val="333333"/>
        </w:rPr>
        <w:t>25.6.1.10.2.5.3 (09-20-2016)</w:t>
      </w:r>
    </w:p>
    <w:p w:rsidR="00AE269E" w:rsidRDefault="00AE269E" w:rsidP="00AE269E">
      <w:pPr>
        <w:pStyle w:val="Heading6"/>
        <w:shd w:val="clear" w:color="auto" w:fill="FFFFFF"/>
        <w:spacing w:before="75" w:beforeAutospacing="0" w:after="225" w:afterAutospacing="0"/>
        <w:rPr>
          <w:rFonts w:ascii="inherit" w:hAnsi="inherit" w:cs="Arial"/>
          <w:color w:val="333333"/>
        </w:rPr>
      </w:pPr>
      <w:bookmarkStart w:id="2" w:name="idm140534001681616"/>
      <w:bookmarkEnd w:id="2"/>
      <w:r>
        <w:rPr>
          <w:rFonts w:ascii="inherit" w:hAnsi="inherit" w:cs="Arial"/>
          <w:color w:val="333333"/>
        </w:rPr>
        <w:t xml:space="preserve">Notification to Taxpayer </w:t>
      </w:r>
      <w:proofErr w:type="gramStart"/>
      <w:r>
        <w:rPr>
          <w:rFonts w:ascii="inherit" w:hAnsi="inherit" w:cs="Arial"/>
          <w:color w:val="333333"/>
        </w:rPr>
        <w:t>Upon</w:t>
      </w:r>
      <w:proofErr w:type="gramEnd"/>
      <w:r>
        <w:rPr>
          <w:rFonts w:ascii="inherit" w:hAnsi="inherit" w:cs="Arial"/>
          <w:color w:val="333333"/>
        </w:rPr>
        <w:t xml:space="preserve"> Disallowance of a Claim</w:t>
      </w:r>
    </w:p>
    <w:p w:rsidR="00AE269E" w:rsidRDefault="00AE269E" w:rsidP="00AE269E">
      <w:pPr>
        <w:pStyle w:val="NormalWeb"/>
        <w:numPr>
          <w:ilvl w:val="0"/>
          <w:numId w:val="2"/>
        </w:numPr>
        <w:shd w:val="clear" w:color="auto" w:fill="FFFFFF"/>
        <w:spacing w:before="0" w:beforeAutospacing="0" w:after="0" w:afterAutospacing="0"/>
        <w:ind w:left="240" w:firstLine="0"/>
        <w:rPr>
          <w:rFonts w:ascii="Arial" w:hAnsi="Arial" w:cs="Arial"/>
          <w:color w:val="333333"/>
        </w:rPr>
      </w:pPr>
      <w:r>
        <w:rPr>
          <w:rFonts w:ascii="Arial" w:hAnsi="Arial" w:cs="Arial"/>
          <w:color w:val="333333"/>
        </w:rPr>
        <w:t>Do not allow a claim for refund if the claim for refund is received after RSED has expired, even if the claim contains an issue that the taxpayer has a right to appeal. Issue a certified Letter 105C, Claim Disallowed, to the taxpayer. Input a TC 290.00 amount, using Blocking Series (BS) 98 or 99, as appropriate.</w:t>
      </w:r>
    </w:p>
    <w:p w:rsidR="00AE269E" w:rsidRDefault="00AE269E" w:rsidP="00AE269E">
      <w:pPr>
        <w:pStyle w:val="NormalWeb"/>
        <w:numPr>
          <w:ilvl w:val="0"/>
          <w:numId w:val="2"/>
        </w:numPr>
        <w:shd w:val="clear" w:color="auto" w:fill="FFFFFF"/>
        <w:spacing w:before="0" w:beforeAutospacing="0" w:after="150" w:afterAutospacing="0"/>
        <w:ind w:left="240" w:firstLine="0"/>
        <w:rPr>
          <w:rFonts w:ascii="Arial" w:hAnsi="Arial" w:cs="Arial"/>
          <w:color w:val="333333"/>
        </w:rPr>
      </w:pPr>
      <w:r>
        <w:rPr>
          <w:rFonts w:ascii="Arial" w:hAnsi="Arial" w:cs="Arial"/>
          <w:color w:val="333333"/>
        </w:rPr>
        <w:t>Taxpayer’s Period of Limitations for Filing a Refund Suit. The two-year period of limitations for filing a refund suit under IRC Section 6532(a) does not begin until the Service sends a notice of claim disallowance unless the taxpayer executes and files a Form 2297, Waiver of Statutory Notification of Claim Disallowance, which would start the two-year period.</w:t>
      </w:r>
    </w:p>
    <w:p w:rsidR="00AE269E" w:rsidRDefault="00AE269E" w:rsidP="00AE269E">
      <w:pPr>
        <w:pStyle w:val="Heading3"/>
        <w:shd w:val="clear" w:color="auto" w:fill="FFFFFF"/>
        <w:spacing w:before="75"/>
        <w:ind w:left="240"/>
        <w:rPr>
          <w:rFonts w:ascii="inherit" w:hAnsi="inherit" w:cs="Arial"/>
          <w:color w:val="333333"/>
        </w:rPr>
      </w:pPr>
      <w:bookmarkStart w:id="3" w:name="idm140534001678640"/>
      <w:bookmarkEnd w:id="3"/>
      <w:r>
        <w:rPr>
          <w:rFonts w:ascii="inherit" w:hAnsi="inherit" w:cs="Arial"/>
          <w:color w:val="333333"/>
        </w:rPr>
        <w:t>Note:</w:t>
      </w:r>
    </w:p>
    <w:p w:rsidR="00AE269E" w:rsidRDefault="00AE269E" w:rsidP="00AE269E">
      <w:pPr>
        <w:pStyle w:val="NormalWeb"/>
        <w:shd w:val="clear" w:color="auto" w:fill="FFFFFF"/>
        <w:spacing w:before="0" w:beforeAutospacing="0" w:after="0" w:afterAutospacing="0"/>
        <w:ind w:left="240"/>
        <w:rPr>
          <w:rFonts w:ascii="Arial" w:hAnsi="Arial" w:cs="Arial"/>
          <w:color w:val="333333"/>
        </w:rPr>
      </w:pPr>
      <w:r>
        <w:rPr>
          <w:rFonts w:ascii="Arial" w:hAnsi="Arial" w:cs="Arial"/>
          <w:color w:val="333333"/>
        </w:rPr>
        <w:t>To start the IRC Section 6532(a) period, a notice of claim disallowance must unequivocally state that the claim was disallowed. See Letter 105C Claim Disallowed, or Letter 106C Claim Partially Disallowed. A math error notice is not a final notice of claim disallowance.</w:t>
      </w:r>
    </w:p>
    <w:p w:rsidR="00AE269E" w:rsidRDefault="00AE269E" w:rsidP="00AE269E">
      <w:pPr>
        <w:pStyle w:val="Heading3"/>
        <w:shd w:val="clear" w:color="auto" w:fill="FFFFFF"/>
        <w:spacing w:before="75"/>
        <w:ind w:left="240"/>
        <w:rPr>
          <w:rFonts w:ascii="inherit" w:hAnsi="inherit" w:cs="Arial"/>
          <w:color w:val="333333"/>
        </w:rPr>
      </w:pPr>
      <w:bookmarkStart w:id="4" w:name="idm140534001677680"/>
      <w:bookmarkEnd w:id="4"/>
      <w:r>
        <w:rPr>
          <w:rFonts w:ascii="inherit" w:hAnsi="inherit" w:cs="Arial"/>
          <w:color w:val="333333"/>
        </w:rPr>
        <w:t>Note:</w:t>
      </w:r>
    </w:p>
    <w:p w:rsidR="00AE269E" w:rsidRDefault="00AE269E" w:rsidP="00AE269E">
      <w:pPr>
        <w:pStyle w:val="NormalWeb"/>
        <w:shd w:val="clear" w:color="auto" w:fill="FFFFFF"/>
        <w:spacing w:before="0" w:beforeAutospacing="0" w:after="0" w:afterAutospacing="0"/>
        <w:ind w:left="240"/>
        <w:rPr>
          <w:rFonts w:ascii="Arial" w:hAnsi="Arial" w:cs="Arial"/>
          <w:color w:val="333333"/>
        </w:rPr>
      </w:pPr>
      <w:proofErr w:type="gramStart"/>
      <w:r>
        <w:rPr>
          <w:rStyle w:val="Emphasis"/>
          <w:rFonts w:ascii="Arial" w:hAnsi="Arial" w:cs="Arial"/>
          <w:color w:val="333333"/>
        </w:rPr>
        <w:t>IRM 25.6.1.6.2.</w:t>
      </w:r>
      <w:r>
        <w:rPr>
          <w:rFonts w:ascii="Arial" w:hAnsi="Arial" w:cs="Arial"/>
          <w:color w:val="333333"/>
        </w:rPr>
        <w:t>,</w:t>
      </w:r>
      <w:r>
        <w:rPr>
          <w:rFonts w:ascii="Arial" w:hAnsi="Arial" w:cs="Arial"/>
          <w:i/>
          <w:iCs/>
          <w:color w:val="333333"/>
        </w:rPr>
        <w:t> Identifying Undeliverable Mail</w:t>
      </w:r>
      <w:r>
        <w:rPr>
          <w:rFonts w:ascii="Arial" w:hAnsi="Arial" w:cs="Arial"/>
          <w:color w:val="333333"/>
        </w:rPr>
        <w:t>, if the 105C letter is undeliverable, for more information.</w:t>
      </w:r>
      <w:proofErr w:type="gramEnd"/>
    </w:p>
    <w:p w:rsidR="00AE269E" w:rsidRDefault="00AE269E" w:rsidP="00AE269E">
      <w:pPr>
        <w:pStyle w:val="NormalWeb"/>
        <w:numPr>
          <w:ilvl w:val="0"/>
          <w:numId w:val="2"/>
        </w:numPr>
        <w:shd w:val="clear" w:color="auto" w:fill="FFFFFF"/>
        <w:spacing w:before="0" w:beforeAutospacing="0" w:after="0" w:afterAutospacing="0"/>
        <w:ind w:left="240" w:firstLine="0"/>
        <w:rPr>
          <w:rFonts w:ascii="Arial" w:hAnsi="Arial" w:cs="Arial"/>
          <w:color w:val="333333"/>
        </w:rPr>
      </w:pPr>
      <w:r>
        <w:rPr>
          <w:rFonts w:ascii="Arial" w:hAnsi="Arial" w:cs="Arial"/>
          <w:color w:val="333333"/>
        </w:rPr>
        <w:t xml:space="preserve">A notice of a claim disallowance is not mandatory. The Service may make a business decision not to send a notice of claim disallowance in every situation even though the taxpayer’s period for filing a refund suit remains open; e.g., </w:t>
      </w:r>
      <w:r w:rsidRPr="00F46788">
        <w:rPr>
          <w:rFonts w:ascii="Arial" w:hAnsi="Arial" w:cs="Arial"/>
          <w:color w:val="333333"/>
          <w:highlight w:val="yellow"/>
        </w:rPr>
        <w:t xml:space="preserve">if the Service denies an Earned Income Tax Credit (EITC) and issues a notice of deficiency, a taxpayer may file a Tax Court petition and the Court will have jurisdiction to </w:t>
      </w:r>
      <w:proofErr w:type="spellStart"/>
      <w:r w:rsidRPr="00F46788">
        <w:rPr>
          <w:rFonts w:ascii="Arial" w:hAnsi="Arial" w:cs="Arial"/>
          <w:color w:val="333333"/>
          <w:highlight w:val="yellow"/>
        </w:rPr>
        <w:t>redetermine</w:t>
      </w:r>
      <w:proofErr w:type="spellEnd"/>
      <w:r w:rsidRPr="00F46788">
        <w:rPr>
          <w:rFonts w:ascii="Arial" w:hAnsi="Arial" w:cs="Arial"/>
          <w:color w:val="333333"/>
          <w:highlight w:val="yellow"/>
        </w:rPr>
        <w:t xml:space="preserve"> the EITC.</w:t>
      </w:r>
      <w:r>
        <w:rPr>
          <w:rFonts w:ascii="Arial" w:hAnsi="Arial" w:cs="Arial"/>
          <w:color w:val="333333"/>
        </w:rPr>
        <w:t xml:space="preserve"> The Service may decide not to issue a notice of claim disallowance in this situation.</w:t>
      </w:r>
    </w:p>
    <w:p w:rsidR="00AE269E" w:rsidRDefault="00AE269E" w:rsidP="00AE269E">
      <w:pPr>
        <w:pStyle w:val="NormalWeb"/>
        <w:numPr>
          <w:ilvl w:val="0"/>
          <w:numId w:val="2"/>
        </w:numPr>
        <w:shd w:val="clear" w:color="auto" w:fill="FFFFFF"/>
        <w:spacing w:before="0" w:beforeAutospacing="0" w:after="0" w:afterAutospacing="0"/>
        <w:ind w:left="240" w:firstLine="0"/>
        <w:rPr>
          <w:rFonts w:ascii="Arial" w:hAnsi="Arial" w:cs="Arial"/>
          <w:color w:val="333333"/>
        </w:rPr>
      </w:pPr>
      <w:r>
        <w:rPr>
          <w:rFonts w:ascii="Arial" w:hAnsi="Arial" w:cs="Arial"/>
          <w:color w:val="333333"/>
        </w:rPr>
        <w:t>A disallowance letter may be sent when the claim is untimely, as well as when the Service disagrees with the taxpayer’s position on a substantive matter; however, a "no consideration" letter is not a disallowance letter. A disallowance letter shows that the taxpayer satisfied the requirement in IRC Section 7422 that the taxpayer must file a claim with the Service before filing suit in a district court or the Court of Federal Claims.</w:t>
      </w:r>
    </w:p>
    <w:p w:rsidR="00A428E8" w:rsidRDefault="00A428E8" w:rsidP="00F46788">
      <w:pPr>
        <w:pStyle w:val="Heading1"/>
        <w:shd w:val="clear" w:color="auto" w:fill="FFFFFF"/>
        <w:spacing w:before="45" w:after="150"/>
      </w:pPr>
    </w:p>
    <w:p w:rsidR="00A428E8" w:rsidRPr="00A428E8" w:rsidRDefault="00A428E8" w:rsidP="00A428E8">
      <w:pPr>
        <w:pStyle w:val="Heading1"/>
        <w:shd w:val="clear" w:color="auto" w:fill="FFFFFF"/>
        <w:spacing w:before="45" w:after="150"/>
      </w:pPr>
      <w:r w:rsidRPr="00834F85">
        <w:rPr>
          <w:rFonts w:asciiTheme="minorHAnsi" w:hAnsiTheme="minorHAnsi"/>
          <w:b w:val="0"/>
          <w:color w:val="auto"/>
          <w:sz w:val="22"/>
          <w:szCs w:val="22"/>
        </w:rPr>
        <w:t>26 U.S. Code § 6511 - Limitations on credit or refund</w:t>
      </w:r>
      <w:r w:rsidRPr="00A428E8">
        <w:rPr>
          <w:b w:val="0"/>
          <w:color w:val="auto"/>
          <w:sz w:val="22"/>
          <w:szCs w:val="22"/>
        </w:rPr>
        <w:t xml:space="preserve"> </w:t>
      </w:r>
      <w:r w:rsidR="00F46788" w:rsidRPr="00A428E8">
        <w:rPr>
          <w:b w:val="0"/>
          <w:color w:val="auto"/>
          <w:sz w:val="22"/>
          <w:szCs w:val="22"/>
        </w:rPr>
        <w:br/>
      </w:r>
      <w:hyperlink r:id="rId19" w:history="1">
        <w:r w:rsidRPr="009C2C39">
          <w:rPr>
            <w:rStyle w:val="Hyperlink"/>
            <w:rFonts w:asciiTheme="minorHAnsi" w:hAnsiTheme="minorHAnsi"/>
            <w:b w:val="0"/>
            <w:bCs w:val="0"/>
            <w:sz w:val="22"/>
            <w:szCs w:val="36"/>
          </w:rPr>
          <w:t>https://www.law.cornell.edu/uscode/text/26/6511</w:t>
        </w:r>
      </w:hyperlink>
    </w:p>
    <w:p w:rsidR="00F46788" w:rsidRPr="00670F2B" w:rsidRDefault="00F46788" w:rsidP="00F46788">
      <w:pPr>
        <w:pStyle w:val="Heading1"/>
        <w:shd w:val="clear" w:color="auto" w:fill="FFFFFF"/>
        <w:spacing w:before="45" w:after="150"/>
        <w:rPr>
          <w:rFonts w:asciiTheme="minorHAnsi" w:hAnsiTheme="minorHAnsi"/>
          <w:b w:val="0"/>
        </w:rPr>
      </w:pPr>
      <w:r w:rsidRPr="00670F2B">
        <w:rPr>
          <w:rFonts w:asciiTheme="minorHAnsi" w:hAnsiTheme="minorHAnsi"/>
          <w:b w:val="0"/>
          <w:bCs w:val="0"/>
          <w:color w:val="auto"/>
          <w:sz w:val="22"/>
          <w:szCs w:val="36"/>
        </w:rPr>
        <w:t>26 U.S. Code § 7422 - Civil actions for refund</w:t>
      </w:r>
      <w:r w:rsidR="00670F2B">
        <w:rPr>
          <w:rFonts w:asciiTheme="minorHAnsi" w:hAnsiTheme="minorHAnsi"/>
          <w:b w:val="0"/>
          <w:bCs w:val="0"/>
          <w:color w:val="auto"/>
          <w:sz w:val="22"/>
          <w:szCs w:val="36"/>
        </w:rPr>
        <w:br/>
      </w:r>
      <w:hyperlink r:id="rId20" w:history="1">
        <w:r w:rsidRPr="00670F2B">
          <w:rPr>
            <w:rStyle w:val="Hyperlink"/>
            <w:rFonts w:asciiTheme="minorHAnsi" w:hAnsiTheme="minorHAnsi"/>
            <w:b w:val="0"/>
            <w:sz w:val="24"/>
          </w:rPr>
          <w:t>https://www.law.cornell.edu/uscode/text/26/7422</w:t>
        </w:r>
      </w:hyperlink>
      <w:r w:rsidRPr="00670F2B">
        <w:rPr>
          <w:rFonts w:asciiTheme="minorHAnsi" w:hAnsiTheme="minorHAnsi"/>
          <w:b w:val="0"/>
          <w:sz w:val="24"/>
        </w:rPr>
        <w:t xml:space="preserve"> </w:t>
      </w:r>
    </w:p>
    <w:p w:rsidR="00670F2B" w:rsidRDefault="00670F2B" w:rsidP="00670F2B">
      <w:r w:rsidRPr="00670F2B">
        <w:t>26 U.S. Code § 6532 - Periods of limitation on suits</w:t>
      </w:r>
      <w:r>
        <w:t xml:space="preserve"> </w:t>
      </w:r>
      <w:r>
        <w:br/>
      </w:r>
      <w:hyperlink r:id="rId21" w:history="1">
        <w:r w:rsidRPr="009C2C39">
          <w:rPr>
            <w:rStyle w:val="Hyperlink"/>
          </w:rPr>
          <w:t>https://www.law.cornell.edu/uscode/text/26/6532</w:t>
        </w:r>
      </w:hyperlink>
      <w:r>
        <w:t xml:space="preserve"> </w:t>
      </w:r>
    </w:p>
    <w:p w:rsidR="009D78F0" w:rsidRDefault="009D78F0" w:rsidP="00670F2B"/>
    <w:p w:rsidR="009D78F0" w:rsidRDefault="009D78F0" w:rsidP="00670F2B">
      <w:r>
        <w:t>Tax Court – searched “Sec 6511, refund” – one case</w:t>
      </w:r>
      <w:r>
        <w:br/>
      </w:r>
      <w:r w:rsidRPr="009D78F0">
        <w:t xml:space="preserve">Galen K. and Katherine J. </w:t>
      </w:r>
      <w:proofErr w:type="spellStart"/>
      <w:r w:rsidRPr="009D78F0">
        <w:t>Heichel</w:t>
      </w:r>
      <w:proofErr w:type="spellEnd"/>
      <w:r>
        <w:br/>
      </w:r>
      <w:hyperlink r:id="rId22" w:history="1">
        <w:r w:rsidRPr="009C2C39">
          <w:rPr>
            <w:rStyle w:val="Hyperlink"/>
          </w:rPr>
          <w:t>https://ustaxcourt.gov/UstcInOp/OpinionViewer.aspx?ID=8321</w:t>
        </w:r>
      </w:hyperlink>
      <w:r>
        <w:t xml:space="preserve"> </w:t>
      </w:r>
    </w:p>
    <w:p w:rsidR="009D78F0" w:rsidRDefault="009D78F0" w:rsidP="00670F2B">
      <w:r>
        <w:t>Interesting argument, not relevant, and taxpayers lost anyway.</w:t>
      </w:r>
    </w:p>
    <w:p w:rsidR="00E67A17" w:rsidRDefault="00E67A17" w:rsidP="00670F2B">
      <w:r>
        <w:t>Searched “untimely refund” – one case</w:t>
      </w:r>
      <w:r w:rsidR="00181FA1">
        <w:br/>
      </w:r>
      <w:r w:rsidR="00181FA1" w:rsidRPr="00181FA1">
        <w:t xml:space="preserve">Mary Ellen &amp; Thomas Ford </w:t>
      </w:r>
      <w:proofErr w:type="spellStart"/>
      <w:r w:rsidR="00181FA1" w:rsidRPr="00181FA1">
        <w:t>Kalil</w:t>
      </w:r>
      <w:proofErr w:type="spellEnd"/>
      <w:r>
        <w:br/>
      </w:r>
      <w:hyperlink r:id="rId23" w:history="1">
        <w:r w:rsidRPr="009C2C39">
          <w:rPr>
            <w:rStyle w:val="Hyperlink"/>
          </w:rPr>
          <w:t>https://ustaxcourt.gov/UstcInOp/OpinionViewer.aspx?ID=10544</w:t>
        </w:r>
      </w:hyperlink>
      <w:r>
        <w:t xml:space="preserve"> </w:t>
      </w:r>
      <w:r w:rsidR="00181FA1">
        <w:br/>
      </w:r>
      <w:proofErr w:type="gramStart"/>
      <w:r w:rsidR="00181FA1">
        <w:t>Not</w:t>
      </w:r>
      <w:proofErr w:type="gramEnd"/>
      <w:r w:rsidR="00181FA1">
        <w:t xml:space="preserve"> relevant – a collection case with missing records – interesting.</w:t>
      </w:r>
    </w:p>
    <w:p w:rsidR="00E67A17" w:rsidRPr="00670F2B" w:rsidRDefault="00E67A17" w:rsidP="00670F2B"/>
    <w:sectPr w:rsidR="00E67A17" w:rsidRPr="0067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23DC"/>
    <w:multiLevelType w:val="multilevel"/>
    <w:tmpl w:val="C5E4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E04AB"/>
    <w:multiLevelType w:val="multilevel"/>
    <w:tmpl w:val="807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A726C"/>
    <w:multiLevelType w:val="multilevel"/>
    <w:tmpl w:val="F634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2D4EAE"/>
    <w:multiLevelType w:val="multilevel"/>
    <w:tmpl w:val="3C22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1E"/>
    <w:rsid w:val="000B513A"/>
    <w:rsid w:val="001072BA"/>
    <w:rsid w:val="00181FA1"/>
    <w:rsid w:val="001F2A21"/>
    <w:rsid w:val="003D4F6B"/>
    <w:rsid w:val="003F4701"/>
    <w:rsid w:val="00442D7E"/>
    <w:rsid w:val="004E67AB"/>
    <w:rsid w:val="00561017"/>
    <w:rsid w:val="00597D32"/>
    <w:rsid w:val="005B1B81"/>
    <w:rsid w:val="00602720"/>
    <w:rsid w:val="00670F2B"/>
    <w:rsid w:val="00691BD2"/>
    <w:rsid w:val="00834F85"/>
    <w:rsid w:val="0085609B"/>
    <w:rsid w:val="00861F94"/>
    <w:rsid w:val="008A4FA8"/>
    <w:rsid w:val="009D78F0"/>
    <w:rsid w:val="009E5859"/>
    <w:rsid w:val="00A428E8"/>
    <w:rsid w:val="00AE269E"/>
    <w:rsid w:val="00BF6D21"/>
    <w:rsid w:val="00C01773"/>
    <w:rsid w:val="00C0371E"/>
    <w:rsid w:val="00D57656"/>
    <w:rsid w:val="00D62BFC"/>
    <w:rsid w:val="00E12744"/>
    <w:rsid w:val="00E67A17"/>
    <w:rsid w:val="00F4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E269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60272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71E"/>
    <w:rPr>
      <w:color w:val="0000FF" w:themeColor="hyperlink"/>
      <w:u w:val="single"/>
    </w:rPr>
  </w:style>
  <w:style w:type="paragraph" w:styleId="BalloonText">
    <w:name w:val="Balloon Text"/>
    <w:basedOn w:val="Normal"/>
    <w:link w:val="BalloonTextChar"/>
    <w:uiPriority w:val="99"/>
    <w:semiHidden/>
    <w:unhideWhenUsed/>
    <w:rsid w:val="004E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AB"/>
    <w:rPr>
      <w:rFonts w:ascii="Tahoma" w:hAnsi="Tahoma" w:cs="Tahoma"/>
      <w:sz w:val="16"/>
      <w:szCs w:val="16"/>
    </w:rPr>
  </w:style>
  <w:style w:type="character" w:customStyle="1" w:styleId="Heading6Char">
    <w:name w:val="Heading 6 Char"/>
    <w:basedOn w:val="DefaultParagraphFont"/>
    <w:link w:val="Heading6"/>
    <w:uiPriority w:val="9"/>
    <w:rsid w:val="00602720"/>
    <w:rPr>
      <w:rFonts w:ascii="Times New Roman" w:eastAsia="Times New Roman" w:hAnsi="Times New Roman" w:cs="Times New Roman"/>
      <w:b/>
      <w:bCs/>
      <w:sz w:val="15"/>
      <w:szCs w:val="15"/>
    </w:rPr>
  </w:style>
  <w:style w:type="character" w:styleId="Strong">
    <w:name w:val="Strong"/>
    <w:basedOn w:val="DefaultParagraphFont"/>
    <w:uiPriority w:val="22"/>
    <w:qFormat/>
    <w:rsid w:val="00602720"/>
    <w:rPr>
      <w:b/>
      <w:bCs/>
    </w:rPr>
  </w:style>
  <w:style w:type="paragraph" w:styleId="NormalWeb">
    <w:name w:val="Normal (Web)"/>
    <w:basedOn w:val="Normal"/>
    <w:uiPriority w:val="99"/>
    <w:semiHidden/>
    <w:unhideWhenUsed/>
    <w:rsid w:val="0060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269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E269E"/>
    <w:rPr>
      <w:i/>
      <w:iCs/>
    </w:rPr>
  </w:style>
  <w:style w:type="character" w:customStyle="1" w:styleId="Heading1Char">
    <w:name w:val="Heading 1 Char"/>
    <w:basedOn w:val="DefaultParagraphFont"/>
    <w:link w:val="Heading1"/>
    <w:uiPriority w:val="9"/>
    <w:rsid w:val="00F46788"/>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0B5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E269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60272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71E"/>
    <w:rPr>
      <w:color w:val="0000FF" w:themeColor="hyperlink"/>
      <w:u w:val="single"/>
    </w:rPr>
  </w:style>
  <w:style w:type="paragraph" w:styleId="BalloonText">
    <w:name w:val="Balloon Text"/>
    <w:basedOn w:val="Normal"/>
    <w:link w:val="BalloonTextChar"/>
    <w:uiPriority w:val="99"/>
    <w:semiHidden/>
    <w:unhideWhenUsed/>
    <w:rsid w:val="004E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AB"/>
    <w:rPr>
      <w:rFonts w:ascii="Tahoma" w:hAnsi="Tahoma" w:cs="Tahoma"/>
      <w:sz w:val="16"/>
      <w:szCs w:val="16"/>
    </w:rPr>
  </w:style>
  <w:style w:type="character" w:customStyle="1" w:styleId="Heading6Char">
    <w:name w:val="Heading 6 Char"/>
    <w:basedOn w:val="DefaultParagraphFont"/>
    <w:link w:val="Heading6"/>
    <w:uiPriority w:val="9"/>
    <w:rsid w:val="00602720"/>
    <w:rPr>
      <w:rFonts w:ascii="Times New Roman" w:eastAsia="Times New Roman" w:hAnsi="Times New Roman" w:cs="Times New Roman"/>
      <w:b/>
      <w:bCs/>
      <w:sz w:val="15"/>
      <w:szCs w:val="15"/>
    </w:rPr>
  </w:style>
  <w:style w:type="character" w:styleId="Strong">
    <w:name w:val="Strong"/>
    <w:basedOn w:val="DefaultParagraphFont"/>
    <w:uiPriority w:val="22"/>
    <w:qFormat/>
    <w:rsid w:val="00602720"/>
    <w:rPr>
      <w:b/>
      <w:bCs/>
    </w:rPr>
  </w:style>
  <w:style w:type="paragraph" w:styleId="NormalWeb">
    <w:name w:val="Normal (Web)"/>
    <w:basedOn w:val="Normal"/>
    <w:uiPriority w:val="99"/>
    <w:semiHidden/>
    <w:unhideWhenUsed/>
    <w:rsid w:val="0060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269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E269E"/>
    <w:rPr>
      <w:i/>
      <w:iCs/>
    </w:rPr>
  </w:style>
  <w:style w:type="character" w:customStyle="1" w:styleId="Heading1Char">
    <w:name w:val="Heading 1 Char"/>
    <w:basedOn w:val="DefaultParagraphFont"/>
    <w:link w:val="Heading1"/>
    <w:uiPriority w:val="9"/>
    <w:rsid w:val="00F46788"/>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0B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697">
      <w:bodyDiv w:val="1"/>
      <w:marLeft w:val="0"/>
      <w:marRight w:val="0"/>
      <w:marTop w:val="0"/>
      <w:marBottom w:val="0"/>
      <w:divBdr>
        <w:top w:val="none" w:sz="0" w:space="0" w:color="auto"/>
        <w:left w:val="none" w:sz="0" w:space="0" w:color="auto"/>
        <w:bottom w:val="none" w:sz="0" w:space="0" w:color="auto"/>
        <w:right w:val="none" w:sz="0" w:space="0" w:color="auto"/>
      </w:divBdr>
    </w:div>
    <w:div w:id="420873595">
      <w:bodyDiv w:val="1"/>
      <w:marLeft w:val="0"/>
      <w:marRight w:val="0"/>
      <w:marTop w:val="0"/>
      <w:marBottom w:val="0"/>
      <w:divBdr>
        <w:top w:val="none" w:sz="0" w:space="0" w:color="auto"/>
        <w:left w:val="none" w:sz="0" w:space="0" w:color="auto"/>
        <w:bottom w:val="none" w:sz="0" w:space="0" w:color="auto"/>
        <w:right w:val="none" w:sz="0" w:space="0" w:color="auto"/>
      </w:divBdr>
    </w:div>
    <w:div w:id="675572983">
      <w:bodyDiv w:val="1"/>
      <w:marLeft w:val="0"/>
      <w:marRight w:val="0"/>
      <w:marTop w:val="0"/>
      <w:marBottom w:val="0"/>
      <w:divBdr>
        <w:top w:val="none" w:sz="0" w:space="0" w:color="auto"/>
        <w:left w:val="none" w:sz="0" w:space="0" w:color="auto"/>
        <w:bottom w:val="none" w:sz="0" w:space="0" w:color="auto"/>
        <w:right w:val="none" w:sz="0" w:space="0" w:color="auto"/>
      </w:divBdr>
      <w:divsChild>
        <w:div w:id="271016850">
          <w:marLeft w:val="0"/>
          <w:marRight w:val="0"/>
          <w:marTop w:val="300"/>
          <w:marBottom w:val="0"/>
          <w:divBdr>
            <w:top w:val="none" w:sz="0" w:space="0" w:color="auto"/>
            <w:left w:val="none" w:sz="0" w:space="0" w:color="auto"/>
            <w:bottom w:val="none" w:sz="0" w:space="0" w:color="auto"/>
            <w:right w:val="none" w:sz="0" w:space="0" w:color="auto"/>
          </w:divBdr>
        </w:div>
        <w:div w:id="689768132">
          <w:marLeft w:val="0"/>
          <w:marRight w:val="0"/>
          <w:marTop w:val="0"/>
          <w:marBottom w:val="0"/>
          <w:divBdr>
            <w:top w:val="none" w:sz="0" w:space="0" w:color="auto"/>
            <w:left w:val="none" w:sz="0" w:space="0" w:color="auto"/>
            <w:bottom w:val="none" w:sz="0" w:space="0" w:color="auto"/>
            <w:right w:val="none" w:sz="0" w:space="0" w:color="auto"/>
          </w:divBdr>
          <w:divsChild>
            <w:div w:id="1823959368">
              <w:marLeft w:val="0"/>
              <w:marRight w:val="0"/>
              <w:marTop w:val="0"/>
              <w:marBottom w:val="0"/>
              <w:divBdr>
                <w:top w:val="none" w:sz="0" w:space="0" w:color="auto"/>
                <w:left w:val="none" w:sz="0" w:space="0" w:color="auto"/>
                <w:bottom w:val="none" w:sz="0" w:space="0" w:color="auto"/>
                <w:right w:val="none" w:sz="0" w:space="0" w:color="auto"/>
              </w:divBdr>
              <w:divsChild>
                <w:div w:id="803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3597">
          <w:marLeft w:val="0"/>
          <w:marRight w:val="0"/>
          <w:marTop w:val="75"/>
          <w:marBottom w:val="75"/>
          <w:divBdr>
            <w:top w:val="none" w:sz="0" w:space="0" w:color="auto"/>
            <w:left w:val="none" w:sz="0" w:space="0" w:color="auto"/>
            <w:bottom w:val="none" w:sz="0" w:space="0" w:color="auto"/>
            <w:right w:val="none" w:sz="0" w:space="0" w:color="auto"/>
          </w:divBdr>
          <w:divsChild>
            <w:div w:id="1893540046">
              <w:marLeft w:val="0"/>
              <w:marRight w:val="0"/>
              <w:marTop w:val="0"/>
              <w:marBottom w:val="0"/>
              <w:divBdr>
                <w:top w:val="none" w:sz="0" w:space="0" w:color="auto"/>
                <w:left w:val="none" w:sz="0" w:space="0" w:color="auto"/>
                <w:bottom w:val="none" w:sz="0" w:space="0" w:color="auto"/>
                <w:right w:val="none" w:sz="0" w:space="0" w:color="auto"/>
              </w:divBdr>
            </w:div>
            <w:div w:id="187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434">
      <w:bodyDiv w:val="1"/>
      <w:marLeft w:val="0"/>
      <w:marRight w:val="0"/>
      <w:marTop w:val="0"/>
      <w:marBottom w:val="0"/>
      <w:divBdr>
        <w:top w:val="none" w:sz="0" w:space="0" w:color="auto"/>
        <w:left w:val="none" w:sz="0" w:space="0" w:color="auto"/>
        <w:bottom w:val="none" w:sz="0" w:space="0" w:color="auto"/>
        <w:right w:val="none" w:sz="0" w:space="0" w:color="auto"/>
      </w:divBdr>
      <w:divsChild>
        <w:div w:id="1988975836">
          <w:marLeft w:val="0"/>
          <w:marRight w:val="0"/>
          <w:marTop w:val="300"/>
          <w:marBottom w:val="0"/>
          <w:divBdr>
            <w:top w:val="none" w:sz="0" w:space="0" w:color="auto"/>
            <w:left w:val="none" w:sz="0" w:space="0" w:color="auto"/>
            <w:bottom w:val="none" w:sz="0" w:space="0" w:color="auto"/>
            <w:right w:val="none" w:sz="0" w:space="0" w:color="auto"/>
          </w:divBdr>
        </w:div>
        <w:div w:id="1875657157">
          <w:marLeft w:val="0"/>
          <w:marRight w:val="0"/>
          <w:marTop w:val="0"/>
          <w:marBottom w:val="0"/>
          <w:divBdr>
            <w:top w:val="none" w:sz="0" w:space="0" w:color="auto"/>
            <w:left w:val="none" w:sz="0" w:space="0" w:color="auto"/>
            <w:bottom w:val="none" w:sz="0" w:space="0" w:color="auto"/>
            <w:right w:val="none" w:sz="0" w:space="0" w:color="auto"/>
          </w:divBdr>
          <w:divsChild>
            <w:div w:id="934485464">
              <w:marLeft w:val="0"/>
              <w:marRight w:val="0"/>
              <w:marTop w:val="0"/>
              <w:marBottom w:val="0"/>
              <w:divBdr>
                <w:top w:val="none" w:sz="0" w:space="0" w:color="auto"/>
                <w:left w:val="none" w:sz="0" w:space="0" w:color="auto"/>
                <w:bottom w:val="none" w:sz="0" w:space="0" w:color="auto"/>
                <w:right w:val="none" w:sz="0" w:space="0" w:color="auto"/>
              </w:divBdr>
              <w:divsChild>
                <w:div w:id="20983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3966">
      <w:bodyDiv w:val="1"/>
      <w:marLeft w:val="0"/>
      <w:marRight w:val="0"/>
      <w:marTop w:val="0"/>
      <w:marBottom w:val="0"/>
      <w:divBdr>
        <w:top w:val="none" w:sz="0" w:space="0" w:color="auto"/>
        <w:left w:val="none" w:sz="0" w:space="0" w:color="auto"/>
        <w:bottom w:val="none" w:sz="0" w:space="0" w:color="auto"/>
        <w:right w:val="none" w:sz="0" w:space="0" w:color="auto"/>
      </w:divBdr>
      <w:divsChild>
        <w:div w:id="2007517686">
          <w:marLeft w:val="0"/>
          <w:marRight w:val="0"/>
          <w:marTop w:val="0"/>
          <w:marBottom w:val="0"/>
          <w:divBdr>
            <w:top w:val="none" w:sz="0" w:space="0" w:color="auto"/>
            <w:left w:val="none" w:sz="0" w:space="0" w:color="auto"/>
            <w:bottom w:val="none" w:sz="0" w:space="0" w:color="auto"/>
            <w:right w:val="none" w:sz="0" w:space="0" w:color="auto"/>
          </w:divBdr>
        </w:div>
        <w:div w:id="314840626">
          <w:marLeft w:val="0"/>
          <w:marRight w:val="0"/>
          <w:marTop w:val="0"/>
          <w:marBottom w:val="0"/>
          <w:divBdr>
            <w:top w:val="none" w:sz="0" w:space="0" w:color="auto"/>
            <w:left w:val="none" w:sz="0" w:space="0" w:color="auto"/>
            <w:bottom w:val="none" w:sz="0" w:space="0" w:color="auto"/>
            <w:right w:val="none" w:sz="0" w:space="0" w:color="auto"/>
          </w:divBdr>
        </w:div>
        <w:div w:id="222954835">
          <w:marLeft w:val="0"/>
          <w:marRight w:val="0"/>
          <w:marTop w:val="0"/>
          <w:marBottom w:val="0"/>
          <w:divBdr>
            <w:top w:val="none" w:sz="0" w:space="0" w:color="auto"/>
            <w:left w:val="none" w:sz="0" w:space="0" w:color="auto"/>
            <w:bottom w:val="none" w:sz="0" w:space="0" w:color="auto"/>
            <w:right w:val="none" w:sz="0" w:space="0" w:color="auto"/>
          </w:divBdr>
        </w:div>
        <w:div w:id="1179849230">
          <w:marLeft w:val="0"/>
          <w:marRight w:val="0"/>
          <w:marTop w:val="0"/>
          <w:marBottom w:val="0"/>
          <w:divBdr>
            <w:top w:val="none" w:sz="0" w:space="0" w:color="auto"/>
            <w:left w:val="none" w:sz="0" w:space="0" w:color="auto"/>
            <w:bottom w:val="none" w:sz="0" w:space="0" w:color="auto"/>
            <w:right w:val="none" w:sz="0" w:space="0" w:color="auto"/>
          </w:divBdr>
        </w:div>
        <w:div w:id="910235071">
          <w:marLeft w:val="0"/>
          <w:marRight w:val="0"/>
          <w:marTop w:val="0"/>
          <w:marBottom w:val="0"/>
          <w:divBdr>
            <w:top w:val="none" w:sz="0" w:space="0" w:color="auto"/>
            <w:left w:val="none" w:sz="0" w:space="0" w:color="auto"/>
            <w:bottom w:val="none" w:sz="0" w:space="0" w:color="auto"/>
            <w:right w:val="none" w:sz="0" w:space="0" w:color="auto"/>
          </w:divBdr>
        </w:div>
        <w:div w:id="1548834980">
          <w:marLeft w:val="0"/>
          <w:marRight w:val="0"/>
          <w:marTop w:val="0"/>
          <w:marBottom w:val="0"/>
          <w:divBdr>
            <w:top w:val="none" w:sz="0" w:space="0" w:color="auto"/>
            <w:left w:val="none" w:sz="0" w:space="0" w:color="auto"/>
            <w:bottom w:val="none" w:sz="0" w:space="0" w:color="auto"/>
            <w:right w:val="none" w:sz="0" w:space="0" w:color="auto"/>
          </w:divBdr>
        </w:div>
        <w:div w:id="1090154047">
          <w:marLeft w:val="0"/>
          <w:marRight w:val="0"/>
          <w:marTop w:val="0"/>
          <w:marBottom w:val="0"/>
          <w:divBdr>
            <w:top w:val="none" w:sz="0" w:space="0" w:color="auto"/>
            <w:left w:val="none" w:sz="0" w:space="0" w:color="auto"/>
            <w:bottom w:val="none" w:sz="0" w:space="0" w:color="auto"/>
            <w:right w:val="none" w:sz="0" w:space="0" w:color="auto"/>
          </w:divBdr>
        </w:div>
        <w:div w:id="513763987">
          <w:marLeft w:val="0"/>
          <w:marRight w:val="0"/>
          <w:marTop w:val="0"/>
          <w:marBottom w:val="0"/>
          <w:divBdr>
            <w:top w:val="none" w:sz="0" w:space="0" w:color="auto"/>
            <w:left w:val="none" w:sz="0" w:space="0" w:color="auto"/>
            <w:bottom w:val="none" w:sz="0" w:space="0" w:color="auto"/>
            <w:right w:val="none" w:sz="0" w:space="0" w:color="auto"/>
          </w:divBdr>
        </w:div>
        <w:div w:id="1030112644">
          <w:marLeft w:val="0"/>
          <w:marRight w:val="0"/>
          <w:marTop w:val="0"/>
          <w:marBottom w:val="0"/>
          <w:divBdr>
            <w:top w:val="none" w:sz="0" w:space="0" w:color="auto"/>
            <w:left w:val="none" w:sz="0" w:space="0" w:color="auto"/>
            <w:bottom w:val="none" w:sz="0" w:space="0" w:color="auto"/>
            <w:right w:val="none" w:sz="0" w:space="0" w:color="auto"/>
          </w:divBdr>
        </w:div>
        <w:div w:id="1942183677">
          <w:marLeft w:val="0"/>
          <w:marRight w:val="0"/>
          <w:marTop w:val="0"/>
          <w:marBottom w:val="0"/>
          <w:divBdr>
            <w:top w:val="none" w:sz="0" w:space="0" w:color="auto"/>
            <w:left w:val="none" w:sz="0" w:space="0" w:color="auto"/>
            <w:bottom w:val="none" w:sz="0" w:space="0" w:color="auto"/>
            <w:right w:val="none" w:sz="0" w:space="0" w:color="auto"/>
          </w:divBdr>
        </w:div>
        <w:div w:id="1001196885">
          <w:marLeft w:val="0"/>
          <w:marRight w:val="0"/>
          <w:marTop w:val="0"/>
          <w:marBottom w:val="0"/>
          <w:divBdr>
            <w:top w:val="none" w:sz="0" w:space="0" w:color="auto"/>
            <w:left w:val="none" w:sz="0" w:space="0" w:color="auto"/>
            <w:bottom w:val="none" w:sz="0" w:space="0" w:color="auto"/>
            <w:right w:val="none" w:sz="0" w:space="0" w:color="auto"/>
          </w:divBdr>
        </w:div>
        <w:div w:id="7097784">
          <w:marLeft w:val="0"/>
          <w:marRight w:val="0"/>
          <w:marTop w:val="0"/>
          <w:marBottom w:val="0"/>
          <w:divBdr>
            <w:top w:val="none" w:sz="0" w:space="0" w:color="auto"/>
            <w:left w:val="none" w:sz="0" w:space="0" w:color="auto"/>
            <w:bottom w:val="none" w:sz="0" w:space="0" w:color="auto"/>
            <w:right w:val="none" w:sz="0" w:space="0" w:color="auto"/>
          </w:divBdr>
        </w:div>
        <w:div w:id="501047011">
          <w:marLeft w:val="0"/>
          <w:marRight w:val="0"/>
          <w:marTop w:val="0"/>
          <w:marBottom w:val="0"/>
          <w:divBdr>
            <w:top w:val="none" w:sz="0" w:space="0" w:color="auto"/>
            <w:left w:val="none" w:sz="0" w:space="0" w:color="auto"/>
            <w:bottom w:val="none" w:sz="0" w:space="0" w:color="auto"/>
            <w:right w:val="none" w:sz="0" w:space="0" w:color="auto"/>
          </w:divBdr>
        </w:div>
      </w:divsChild>
    </w:div>
    <w:div w:id="18793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here-are-the-winners-and-losers-of-the-senate-tax-plan-2017-11-13" TargetMode="External"/><Relationship Id="rId13" Type="http://schemas.openxmlformats.org/officeDocument/2006/relationships/image" Target="media/image1.png"/><Relationship Id="rId18" Type="http://schemas.openxmlformats.org/officeDocument/2006/relationships/hyperlink" Target="https://www.irs.gov/irm/part25/irm_25-006-001r#idm140534001681616" TargetMode="External"/><Relationship Id="rId3" Type="http://schemas.microsoft.com/office/2007/relationships/stylesWithEffects" Target="stylesWithEffects.xml"/><Relationship Id="rId21" Type="http://schemas.openxmlformats.org/officeDocument/2006/relationships/hyperlink" Target="https://www.law.cornell.edu/uscode/text/26/6532" TargetMode="External"/><Relationship Id="rId7" Type="http://schemas.openxmlformats.org/officeDocument/2006/relationships/hyperlink" Target="https://www.wsj.com/livecoverage/tax-bill-2017" TargetMode="External"/><Relationship Id="rId12" Type="http://schemas.openxmlformats.org/officeDocument/2006/relationships/hyperlink" Target="https://www.timeanddate.com/calendar/monthly.html?year=2013&amp;country=1&amp;month=4" TargetMode="External"/><Relationship Id="rId17" Type="http://schemas.openxmlformats.org/officeDocument/2006/relationships/hyperlink" Target="https://www.irs.gov/irm/part25/irm_25-006-001r#idm14053400171033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rs.gov/irm/part25/irm_25-006-001r" TargetMode="External"/><Relationship Id="rId20" Type="http://schemas.openxmlformats.org/officeDocument/2006/relationships/hyperlink" Target="https://www.law.cornell.edu/uscode/text/26/7422" TargetMode="External"/><Relationship Id="rId1" Type="http://schemas.openxmlformats.org/officeDocument/2006/relationships/numbering" Target="numbering.xml"/><Relationship Id="rId6" Type="http://schemas.openxmlformats.org/officeDocument/2006/relationships/hyperlink" Target="http://taxmama.com/tax-quips/summary-tax-cut-and-jobs-act-2017/" TargetMode="External"/><Relationship Id="rId11" Type="http://schemas.openxmlformats.org/officeDocument/2006/relationships/hyperlink" Target="https://www.forbes.com/sites/kellyphillipserb/2017/11/14/senate-gop-wants-to-eliminate-obamacare-mandate-as-part-of-tax-reform-effor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s.gov/newsroom/irs-gives-tax-relief-to-washington-state-mudslide-and-flooding-victims" TargetMode="External"/><Relationship Id="rId23" Type="http://schemas.openxmlformats.org/officeDocument/2006/relationships/hyperlink" Target="https://ustaxcourt.gov/UstcInOp/OpinionViewer.aspx?ID=10544" TargetMode="External"/><Relationship Id="rId10" Type="http://schemas.openxmlformats.org/officeDocument/2006/relationships/hyperlink" Target="https://www.forbes.com/sites/kellyphillipserb/2017/10/18/irs-changes-position-will-not-accept-tax-returns-which-are-silent-on-healthcare-coverage/" TargetMode="External"/><Relationship Id="rId19" Type="http://schemas.openxmlformats.org/officeDocument/2006/relationships/hyperlink" Target="https://www.law.cornell.edu/uscode/text/26/6511" TargetMode="External"/><Relationship Id="rId4" Type="http://schemas.openxmlformats.org/officeDocument/2006/relationships/settings" Target="settings.xml"/><Relationship Id="rId9" Type="http://schemas.openxmlformats.org/officeDocument/2006/relationships/hyperlink" Target="https://www.forbes.com/sites/kellyphillipserb/2017/11/16/senate-markup-would-make-individual-tax-cuts-temporary-corporate-tax-cuts-permanent" TargetMode="External"/><Relationship Id="rId14" Type="http://schemas.openxmlformats.org/officeDocument/2006/relationships/hyperlink" Target="https://www.irs.gov/newsroom/irs-kicks-off-2013-tax-season" TargetMode="External"/><Relationship Id="rId22" Type="http://schemas.openxmlformats.org/officeDocument/2006/relationships/hyperlink" Target="https://ustaxcourt.gov/UstcInOp/OpinionViewer.aspx?ID=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1214</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Note:</vt:lpstr>
      <vt:lpstr>        Note:</vt:lpstr>
      <vt:lpstr/>
      <vt:lpstr>26 U.S. Code § 6511 - Limitations on credit or refund  https://www.law.cornell.e</vt:lpstr>
      <vt:lpstr>26 U.S. Code § 7422 - Civil actions for refund https://www.law.cornell.edu/uscod</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taxmama</dc:creator>
  <cp:lastModifiedBy>taxmama</cp:lastModifiedBy>
  <cp:revision>27</cp:revision>
  <dcterms:created xsi:type="dcterms:W3CDTF">2017-11-16T14:47:00Z</dcterms:created>
  <dcterms:modified xsi:type="dcterms:W3CDTF">2017-11-16T16:15:00Z</dcterms:modified>
</cp:coreProperties>
</file>